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B9D6" w14:textId="77777777" w:rsidR="006F7E4C" w:rsidRPr="00232DBA" w:rsidRDefault="006F7E4C" w:rsidP="006F7E4C">
      <w:pPr>
        <w:pStyle w:val="pf0"/>
        <w:ind w:left="0"/>
        <w:rPr>
          <w:rStyle w:val="cf01"/>
          <w:rFonts w:ascii="Arial Narrow" w:eastAsiaTheme="majorEastAsia" w:hAnsi="Arial Narrow" w:cs="Calibri"/>
          <w:b/>
          <w:bCs/>
          <w:sz w:val="22"/>
          <w:szCs w:val="22"/>
        </w:rPr>
      </w:pPr>
      <w:r w:rsidRPr="00232DBA">
        <w:rPr>
          <w:rStyle w:val="cf01"/>
          <w:rFonts w:ascii="Arial Narrow" w:eastAsiaTheme="majorEastAsia" w:hAnsi="Arial Narrow" w:cs="Calibri"/>
          <w:b/>
          <w:bCs/>
          <w:sz w:val="22"/>
          <w:szCs w:val="22"/>
        </w:rPr>
        <w:t>Common Biosafety Practices:</w:t>
      </w:r>
    </w:p>
    <w:p w14:paraId="079216B2" w14:textId="77777777" w:rsidR="006F7E4C" w:rsidRPr="00232DBA" w:rsidRDefault="006F7E4C" w:rsidP="006F7E4C">
      <w:pPr>
        <w:pStyle w:val="pf0"/>
        <w:ind w:left="0"/>
        <w:rPr>
          <w:rStyle w:val="cf01"/>
          <w:rFonts w:ascii="Arial Narrow" w:eastAsiaTheme="majorEastAsia" w:hAnsi="Arial Narrow" w:cs="Calibri"/>
          <w:sz w:val="22"/>
          <w:szCs w:val="22"/>
        </w:rPr>
      </w:pPr>
      <w:r w:rsidRPr="00232DBA">
        <w:rPr>
          <w:rStyle w:val="cf01"/>
          <w:rFonts w:ascii="Arial Narrow" w:eastAsiaTheme="majorEastAsia" w:hAnsi="Arial Narrow" w:cs="Calibri"/>
          <w:b/>
          <w:bCs/>
          <w:sz w:val="22"/>
          <w:szCs w:val="22"/>
        </w:rPr>
        <w:t>General lab protocol:</w:t>
      </w:r>
      <w:r w:rsidRPr="00232DBA">
        <w:rPr>
          <w:rStyle w:val="cf01"/>
          <w:rFonts w:ascii="Arial Narrow" w:eastAsiaTheme="majorEastAsia" w:hAnsi="Arial Narrow" w:cs="Calibri"/>
          <w:sz w:val="22"/>
          <w:szCs w:val="22"/>
        </w:rPr>
        <w:t xml:space="preserve"> While in the lab, all must wear full-length leg coverings, closed toed shoes, and the appropriate PPE. Guests must always be escorted by a trained lab member. No eating, drinking, or makeup in the lab. All must wash </w:t>
      </w:r>
      <w:proofErr w:type="gramStart"/>
      <w:r w:rsidRPr="00232DBA">
        <w:rPr>
          <w:rStyle w:val="cf01"/>
          <w:rFonts w:ascii="Arial Narrow" w:eastAsiaTheme="majorEastAsia" w:hAnsi="Arial Narrow" w:cs="Calibri"/>
          <w:sz w:val="22"/>
          <w:szCs w:val="22"/>
        </w:rPr>
        <w:t>hands</w:t>
      </w:r>
      <w:proofErr w:type="gramEnd"/>
      <w:r w:rsidRPr="00232DBA">
        <w:rPr>
          <w:rStyle w:val="cf01"/>
          <w:rFonts w:ascii="Arial Narrow" w:eastAsiaTheme="majorEastAsia" w:hAnsi="Arial Narrow" w:cs="Calibri"/>
          <w:sz w:val="22"/>
          <w:szCs w:val="22"/>
        </w:rPr>
        <w:t xml:space="preserve"> prior to exiting the lab.</w:t>
      </w:r>
    </w:p>
    <w:p w14:paraId="0A7D56E0" w14:textId="77777777" w:rsidR="006F7E4C" w:rsidRPr="00232DBA" w:rsidRDefault="006F7E4C" w:rsidP="006F7E4C">
      <w:pPr>
        <w:pStyle w:val="pf0"/>
        <w:ind w:left="0"/>
        <w:rPr>
          <w:rFonts w:ascii="Arial Narrow" w:hAnsi="Arial Narrow" w:cs="Calibri"/>
          <w:sz w:val="22"/>
          <w:szCs w:val="22"/>
        </w:rPr>
      </w:pPr>
      <w:r w:rsidRPr="00232DBA">
        <w:rPr>
          <w:rStyle w:val="cf01"/>
          <w:rFonts w:ascii="Arial Narrow" w:eastAsiaTheme="majorEastAsia" w:hAnsi="Arial Narrow" w:cs="Calibri"/>
          <w:b/>
          <w:bCs/>
          <w:sz w:val="22"/>
          <w:szCs w:val="22"/>
        </w:rPr>
        <w:t>Sharps safety:</w:t>
      </w:r>
      <w:r w:rsidRPr="00232DBA">
        <w:rPr>
          <w:rStyle w:val="cf01"/>
          <w:rFonts w:ascii="Arial Narrow" w:eastAsiaTheme="majorEastAsia" w:hAnsi="Arial Narrow" w:cs="Calibri"/>
          <w:sz w:val="22"/>
          <w:szCs w:val="22"/>
        </w:rPr>
        <w:t xml:space="preserve"> Safety engineered sharps, plastic blades, plastic Pasteur pipettes and similar alternatives are used whenever possible.  Contaminated needles are not bent, recapped, or removed from syringes. Contaminated sharps are disposed of in </w:t>
      </w:r>
      <w:r w:rsidRPr="00232DBA">
        <w:rPr>
          <w:rFonts w:ascii="Arial Narrow" w:hAnsi="Arial Narrow" w:cs="Calibri"/>
          <w:sz w:val="22"/>
          <w:szCs w:val="22"/>
        </w:rPr>
        <w:t xml:space="preserve">designated sharps containers that are puncture-resistant, leak-proof, and labeled for the intended use (e.g. needles are disposed of in a red biohazard, FDA-approved sharps container). Seal and dispose of the container when &lt;75% full. NO sharps can be above the 75% fill line. Sealed sharps containers are disposed of through the </w:t>
      </w:r>
      <w:hyperlink r:id="rId4" w:history="1">
        <w:r w:rsidRPr="00232DBA">
          <w:rPr>
            <w:rFonts w:ascii="Arial Narrow" w:hAnsi="Arial Narrow" w:cs="Calibri"/>
            <w:color w:val="0000FF"/>
            <w:sz w:val="22"/>
            <w:szCs w:val="22"/>
            <w:u w:val="single"/>
          </w:rPr>
          <w:t>Hazardous Waste Program</w:t>
        </w:r>
      </w:hyperlink>
      <w:r w:rsidRPr="00232DBA">
        <w:rPr>
          <w:rFonts w:ascii="Arial Narrow" w:hAnsi="Arial Narrow" w:cs="Calibri"/>
          <w:sz w:val="22"/>
          <w:szCs w:val="22"/>
        </w:rPr>
        <w:t xml:space="preserve"> directly or via the medical waste stream. Reusable sharps (knives, pins, tweezers, etc.) are cleaned following an approved protocol and stored in a sealable hard plastic container or placed in their protective covers immediately after use.</w:t>
      </w:r>
    </w:p>
    <w:p w14:paraId="057A894C" w14:textId="77777777" w:rsidR="006F7E4C" w:rsidRPr="00232DBA" w:rsidRDefault="006F7E4C" w:rsidP="006F7E4C">
      <w:pPr>
        <w:pStyle w:val="pf0"/>
        <w:ind w:left="0"/>
        <w:rPr>
          <w:rStyle w:val="cf01"/>
          <w:rFonts w:ascii="Arial Narrow" w:eastAsiaTheme="majorEastAsia" w:hAnsi="Arial Narrow" w:cs="Calibri"/>
          <w:i/>
          <w:iCs/>
          <w:sz w:val="22"/>
          <w:szCs w:val="22"/>
        </w:rPr>
      </w:pPr>
      <w:r w:rsidRPr="00232DBA">
        <w:rPr>
          <w:rStyle w:val="cf01"/>
          <w:rFonts w:ascii="Arial Narrow" w:eastAsiaTheme="majorEastAsia" w:hAnsi="Arial Narrow" w:cs="Calibri"/>
          <w:b/>
          <w:bCs/>
          <w:sz w:val="22"/>
          <w:szCs w:val="22"/>
        </w:rPr>
        <w:t>Spill Clean-up:</w:t>
      </w:r>
      <w:r w:rsidRPr="00232DBA">
        <w:rPr>
          <w:rStyle w:val="cf01"/>
          <w:rFonts w:ascii="Arial Narrow" w:eastAsiaTheme="majorEastAsia" w:hAnsi="Arial Narrow" w:cs="Calibri"/>
          <w:i/>
          <w:iCs/>
          <w:sz w:val="22"/>
          <w:szCs w:val="22"/>
        </w:rPr>
        <w:t xml:space="preserve"> </w:t>
      </w:r>
      <w:r w:rsidRPr="00232DBA">
        <w:rPr>
          <w:rStyle w:val="cf21"/>
          <w:rFonts w:ascii="Arial Narrow" w:eastAsiaTheme="majorEastAsia" w:hAnsi="Arial Narrow" w:cs="Calibri"/>
          <w:sz w:val="22"/>
          <w:szCs w:val="22"/>
        </w:rPr>
        <w:t xml:space="preserve">Immediately report the incident to the laboratory manager or PI. Additionally, the biosafety program staff must be notified within 8 working hours (for labs) or 4 working hours (for companies) by sending an email to </w:t>
      </w:r>
      <w:hyperlink r:id="rId5" w:history="1">
        <w:r w:rsidRPr="00232DBA">
          <w:rPr>
            <w:rStyle w:val="cf31"/>
            <w:rFonts w:ascii="Arial Narrow" w:eastAsiaTheme="majorEastAsia" w:hAnsi="Arial Narrow" w:cs="Calibri"/>
            <w:color w:val="0000FF"/>
            <w:sz w:val="22"/>
            <w:szCs w:val="22"/>
            <w:u w:val="single"/>
          </w:rPr>
          <w:t>bso@berkeley.edu</w:t>
        </w:r>
      </w:hyperlink>
      <w:r w:rsidRPr="00232DBA">
        <w:rPr>
          <w:rStyle w:val="cf21"/>
          <w:rFonts w:ascii="Arial Narrow" w:eastAsiaTheme="majorEastAsia" w:hAnsi="Arial Narrow" w:cs="Calibri"/>
          <w:sz w:val="22"/>
          <w:szCs w:val="22"/>
        </w:rPr>
        <w:t>.</w:t>
      </w:r>
      <w:r w:rsidRPr="00232DBA">
        <w:rPr>
          <w:rStyle w:val="cf01"/>
          <w:rFonts w:ascii="Arial Narrow" w:eastAsiaTheme="majorEastAsia" w:hAnsi="Arial Narrow" w:cs="Calibri"/>
          <w:i/>
          <w:iCs/>
          <w:sz w:val="22"/>
          <w:szCs w:val="22"/>
        </w:rPr>
        <w:t xml:space="preserve"> </w:t>
      </w:r>
      <w:r w:rsidRPr="00232DBA">
        <w:rPr>
          <w:rStyle w:val="cf01"/>
          <w:rFonts w:ascii="Arial Narrow" w:eastAsiaTheme="majorEastAsia" w:hAnsi="Arial Narrow" w:cs="Calibri"/>
          <w:sz w:val="22"/>
          <w:szCs w:val="22"/>
        </w:rPr>
        <w:t xml:space="preserve">1. Ensure that any other people in the vicinity are notified that a spill has </w:t>
      </w:r>
      <w:proofErr w:type="gramStart"/>
      <w:r w:rsidRPr="00232DBA">
        <w:rPr>
          <w:rStyle w:val="cf01"/>
          <w:rFonts w:ascii="Arial Narrow" w:eastAsiaTheme="majorEastAsia" w:hAnsi="Arial Narrow" w:cs="Calibri"/>
          <w:sz w:val="22"/>
          <w:szCs w:val="22"/>
        </w:rPr>
        <w:t>occurred</w:t>
      </w:r>
      <w:proofErr w:type="gramEnd"/>
      <w:r w:rsidRPr="00232DBA">
        <w:rPr>
          <w:rStyle w:val="cf01"/>
          <w:rFonts w:ascii="Arial Narrow" w:eastAsiaTheme="majorEastAsia" w:hAnsi="Arial Narrow" w:cs="Calibri"/>
          <w:sz w:val="22"/>
          <w:szCs w:val="22"/>
        </w:rPr>
        <w:t xml:space="preserve"> and that the area should be avoided. 2. Don appropriate protective clothing (lab coat, gloves, eye protection). 3. Cover the spill with absorbent material, such as towels or paper wipes. 4. Carefully pour an effective disinfectant such as freshly made 10% bleach first around the edges of the spill, then onto the spill. Avoid splashing or generating aerosols. 5. Allow disinfectant to remain in contact with </w:t>
      </w:r>
      <w:r>
        <w:rPr>
          <w:rStyle w:val="cf01"/>
          <w:rFonts w:ascii="Arial Narrow" w:eastAsiaTheme="majorEastAsia" w:hAnsi="Arial Narrow" w:cs="Calibri"/>
          <w:sz w:val="22"/>
          <w:szCs w:val="22"/>
        </w:rPr>
        <w:t xml:space="preserve">the </w:t>
      </w:r>
      <w:r w:rsidRPr="00232DBA">
        <w:rPr>
          <w:rStyle w:val="cf01"/>
          <w:rFonts w:ascii="Arial Narrow" w:eastAsiaTheme="majorEastAsia" w:hAnsi="Arial Narrow" w:cs="Calibri"/>
          <w:sz w:val="22"/>
          <w:szCs w:val="22"/>
        </w:rPr>
        <w:t xml:space="preserve">spill for the manufacturer’s recommended contact time (20 minutes for 10% bleach). 6. Carefully pick up any broken sharp material using either tongs or a dustpan. 7. Work concentrically to clean up the absorbent material. Always work from the outer edge of the spill toward the center. 8. Clean spill area with fresh towels soaked in disinfectant. 9. Place all towels or absorbent materials into a) the trash </w:t>
      </w:r>
      <w:proofErr w:type="gramStart"/>
      <w:r w:rsidRPr="00232DBA">
        <w:rPr>
          <w:rStyle w:val="cf01"/>
          <w:rFonts w:ascii="Arial Narrow" w:eastAsiaTheme="majorEastAsia" w:hAnsi="Arial Narrow" w:cs="Calibri"/>
          <w:sz w:val="22"/>
          <w:szCs w:val="22"/>
        </w:rPr>
        <w:t>if</w:t>
      </w:r>
      <w:proofErr w:type="gramEnd"/>
      <w:r w:rsidRPr="00232DBA">
        <w:rPr>
          <w:rStyle w:val="cf01"/>
          <w:rFonts w:ascii="Arial Narrow" w:eastAsiaTheme="majorEastAsia" w:hAnsi="Arial Narrow" w:cs="Calibri"/>
          <w:sz w:val="22"/>
          <w:szCs w:val="22"/>
        </w:rPr>
        <w:t xml:space="preserve"> BSL1 or b) a designated container for biohazardous waste if BSL2. 10. Remove and, if needed, segregate protective clothing for disposal or cleaning. 11. Wash hands prior to leaving the area. </w:t>
      </w:r>
    </w:p>
    <w:p w14:paraId="48F1EBBF" w14:textId="77777777" w:rsidR="006F7E4C" w:rsidRPr="00232DBA" w:rsidRDefault="006F7E4C" w:rsidP="006F7E4C">
      <w:pPr>
        <w:pStyle w:val="pf0"/>
        <w:ind w:left="0"/>
        <w:rPr>
          <w:rStyle w:val="cf01"/>
          <w:rFonts w:ascii="Arial Narrow" w:eastAsiaTheme="majorEastAsia" w:hAnsi="Arial Narrow" w:cs="Calibri"/>
          <w:sz w:val="22"/>
          <w:szCs w:val="22"/>
        </w:rPr>
      </w:pPr>
      <w:r w:rsidRPr="00232DBA">
        <w:rPr>
          <w:rStyle w:val="cf01"/>
          <w:rFonts w:ascii="Arial Narrow" w:eastAsiaTheme="majorEastAsia" w:hAnsi="Arial Narrow" w:cs="Calibri"/>
          <w:b/>
          <w:bCs/>
          <w:sz w:val="22"/>
          <w:szCs w:val="22"/>
        </w:rPr>
        <w:t>Injuries or exposures:</w:t>
      </w:r>
      <w:r w:rsidRPr="00232DBA">
        <w:rPr>
          <w:rStyle w:val="cf01"/>
          <w:rFonts w:ascii="Arial Narrow" w:eastAsiaTheme="majorEastAsia" w:hAnsi="Arial Narrow" w:cs="Calibri"/>
          <w:sz w:val="22"/>
          <w:szCs w:val="22"/>
        </w:rPr>
        <w:t xml:space="preserve"> EH&amp;S biosafety program staff must be notified immediately in the case of injury/major incident 510-642-3073 or </w:t>
      </w:r>
      <w:hyperlink r:id="rId6" w:history="1">
        <w:r w:rsidRPr="00232DBA">
          <w:rPr>
            <w:rStyle w:val="Hyperlink"/>
            <w:rFonts w:ascii="Arial Narrow" w:eastAsiaTheme="majorEastAsia" w:hAnsi="Arial Narrow" w:cs="Calibri"/>
            <w:sz w:val="22"/>
            <w:szCs w:val="22"/>
          </w:rPr>
          <w:t>bso@berkeley.edu</w:t>
        </w:r>
      </w:hyperlink>
      <w:r w:rsidRPr="00232DBA">
        <w:rPr>
          <w:rStyle w:val="cf01"/>
          <w:rFonts w:ascii="Arial Narrow" w:eastAsiaTheme="majorEastAsia" w:hAnsi="Arial Narrow" w:cs="Calibri"/>
          <w:sz w:val="22"/>
          <w:szCs w:val="22"/>
        </w:rPr>
        <w:t>. For academic labs (not associated with HHMI): in the event of an injury or exposure to a biological agent, the following are recommended for seeking medical attention. During business hours (Mon-Fri, 8am-5pm), please visit Urgent Care at the Tang Center. If the injury or exposure occurs outside of business hours, please seek medical attention at Alta Bates Hospital and be sure to state that you were injured or exposed in a laboratory at UC Berkeley. If you or someone else in the laboratory needs immediate medical attention, please call 911 from any campus phone. If you are calling from a cell phone while on campus, call (510) 642-3333.</w:t>
      </w:r>
    </w:p>
    <w:p w14:paraId="03EDCEA4" w14:textId="77777777" w:rsidR="006F7E4C" w:rsidRPr="00232DBA" w:rsidRDefault="006F7E4C" w:rsidP="006F7E4C">
      <w:pPr>
        <w:pStyle w:val="pf0"/>
        <w:ind w:left="0"/>
        <w:rPr>
          <w:rStyle w:val="cf01"/>
          <w:rFonts w:ascii="Arial Narrow" w:eastAsiaTheme="majorEastAsia" w:hAnsi="Arial Narrow" w:cs="Calibri"/>
          <w:b/>
          <w:bCs/>
          <w:sz w:val="22"/>
          <w:szCs w:val="22"/>
        </w:rPr>
      </w:pPr>
      <w:r w:rsidRPr="00232DBA">
        <w:rPr>
          <w:rStyle w:val="cf01"/>
          <w:rFonts w:ascii="Arial Narrow" w:eastAsiaTheme="majorEastAsia" w:hAnsi="Arial Narrow" w:cs="Calibri"/>
          <w:b/>
          <w:bCs/>
          <w:sz w:val="22"/>
          <w:szCs w:val="22"/>
        </w:rPr>
        <w:t xml:space="preserve">BSL1 </w:t>
      </w:r>
    </w:p>
    <w:p w14:paraId="551D0B4B" w14:textId="77777777" w:rsidR="006F7E4C" w:rsidRPr="00232DBA" w:rsidRDefault="006F7E4C" w:rsidP="006F7E4C">
      <w:pPr>
        <w:pStyle w:val="pf0"/>
        <w:ind w:left="0"/>
        <w:rPr>
          <w:rStyle w:val="cf01"/>
          <w:rFonts w:ascii="Arial Narrow" w:eastAsiaTheme="majorEastAsia" w:hAnsi="Arial Narrow" w:cs="Calibri"/>
          <w:b/>
          <w:bCs/>
          <w:sz w:val="22"/>
          <w:szCs w:val="22"/>
        </w:rPr>
      </w:pPr>
      <w:r w:rsidRPr="00232DBA">
        <w:rPr>
          <w:rStyle w:val="cf01"/>
          <w:rFonts w:ascii="Arial Narrow" w:eastAsiaTheme="majorEastAsia" w:hAnsi="Arial Narrow" w:cs="Calibri"/>
          <w:b/>
          <w:bCs/>
          <w:sz w:val="22"/>
          <w:szCs w:val="22"/>
        </w:rPr>
        <w:t>Transport of BSL1 material, recommendation:</w:t>
      </w:r>
      <w:r w:rsidRPr="00232DBA">
        <w:rPr>
          <w:rStyle w:val="cf01"/>
          <w:rFonts w:ascii="Arial Narrow" w:eastAsiaTheme="majorEastAsia" w:hAnsi="Arial Narrow" w:cs="Calibri"/>
          <w:sz w:val="22"/>
          <w:szCs w:val="22"/>
        </w:rPr>
        <w:t xml:space="preserve"> X is carried in an easily decontaminated,</w:t>
      </w:r>
      <w:r>
        <w:rPr>
          <w:rStyle w:val="cf01"/>
          <w:rFonts w:ascii="Arial Narrow" w:eastAsiaTheme="majorEastAsia" w:hAnsi="Arial Narrow" w:cs="Calibri"/>
          <w:sz w:val="22"/>
          <w:szCs w:val="22"/>
        </w:rPr>
        <w:t xml:space="preserve"> lidded,</w:t>
      </w:r>
      <w:r w:rsidRPr="00232DBA">
        <w:rPr>
          <w:rStyle w:val="cf01"/>
          <w:rFonts w:ascii="Arial Narrow" w:eastAsiaTheme="majorEastAsia" w:hAnsi="Arial Narrow" w:cs="Calibri"/>
          <w:sz w:val="22"/>
          <w:szCs w:val="22"/>
        </w:rPr>
        <w:t xml:space="preserve"> leak-proof, secondary container labeled with the lab’s name and contact information. </w:t>
      </w:r>
      <w:r w:rsidRPr="00232DBA">
        <w:rPr>
          <w:rStyle w:val="cf01"/>
          <w:rFonts w:ascii="Arial Narrow" w:eastAsiaTheme="majorEastAsia" w:hAnsi="Arial Narrow" w:cs="Calibri"/>
          <w:b/>
          <w:bCs/>
          <w:sz w:val="22"/>
          <w:szCs w:val="22"/>
        </w:rPr>
        <w:t xml:space="preserve">Surface disinfection: </w:t>
      </w:r>
      <w:r w:rsidRPr="00232DBA">
        <w:rPr>
          <w:rStyle w:val="cf01"/>
          <w:rFonts w:ascii="Arial Narrow" w:eastAsiaTheme="majorEastAsia" w:hAnsi="Arial Narrow" w:cs="Calibri"/>
          <w:sz w:val="22"/>
          <w:szCs w:val="22"/>
        </w:rPr>
        <w:t xml:space="preserve">Work surfaces are disinfected daily after use with an effective disinfectant (e.g. 70% ethanol). </w:t>
      </w:r>
      <w:r w:rsidRPr="00232DBA">
        <w:rPr>
          <w:rStyle w:val="cf01"/>
          <w:rFonts w:ascii="Arial Narrow" w:eastAsiaTheme="majorEastAsia" w:hAnsi="Arial Narrow" w:cs="Calibri"/>
          <w:b/>
          <w:bCs/>
          <w:sz w:val="22"/>
          <w:szCs w:val="22"/>
        </w:rPr>
        <w:t>Liquid waste:</w:t>
      </w:r>
      <w:r w:rsidRPr="00232DBA">
        <w:rPr>
          <w:rStyle w:val="cf01"/>
          <w:rFonts w:ascii="Arial Narrow" w:eastAsiaTheme="majorEastAsia" w:hAnsi="Arial Narrow" w:cs="Calibri"/>
          <w:sz w:val="22"/>
          <w:szCs w:val="22"/>
        </w:rPr>
        <w:t xml:space="preserve"> Liquid waste that has been in contact with recombinant agents will be autoclaved and disposed of down the drain. </w:t>
      </w:r>
      <w:proofErr w:type="gramStart"/>
      <w:r w:rsidRPr="00232DBA">
        <w:rPr>
          <w:rStyle w:val="cf01"/>
          <w:rFonts w:ascii="Arial Narrow" w:eastAsiaTheme="majorEastAsia" w:hAnsi="Arial Narrow" w:cs="Calibri"/>
          <w:sz w:val="22"/>
          <w:szCs w:val="22"/>
        </w:rPr>
        <w:t>Or,</w:t>
      </w:r>
      <w:proofErr w:type="gramEnd"/>
      <w:r w:rsidRPr="00232DBA">
        <w:rPr>
          <w:rStyle w:val="cf01"/>
          <w:rFonts w:ascii="Arial Narrow" w:eastAsiaTheme="majorEastAsia" w:hAnsi="Arial Narrow" w:cs="Calibri"/>
          <w:sz w:val="22"/>
          <w:szCs w:val="22"/>
        </w:rPr>
        <w:t xml:space="preserve"> it can be inactivated in 10% bleach (final concentration) for 20 minutes prior to drain disposal with</w:t>
      </w:r>
      <w:r>
        <w:rPr>
          <w:rStyle w:val="cf01"/>
          <w:rFonts w:ascii="Arial Narrow" w:eastAsiaTheme="majorEastAsia" w:hAnsi="Arial Narrow" w:cs="Calibri"/>
          <w:sz w:val="22"/>
          <w:szCs w:val="22"/>
        </w:rPr>
        <w:t xml:space="preserve"> a</w:t>
      </w:r>
      <w:r w:rsidRPr="00232DBA">
        <w:rPr>
          <w:rStyle w:val="cf01"/>
          <w:rFonts w:ascii="Arial Narrow" w:eastAsiaTheme="majorEastAsia" w:hAnsi="Arial Narrow" w:cs="Calibri"/>
          <w:sz w:val="22"/>
          <w:szCs w:val="22"/>
        </w:rPr>
        <w:t xml:space="preserve"> copious amount of water. </w:t>
      </w:r>
      <w:r w:rsidRPr="00232DBA">
        <w:rPr>
          <w:rStyle w:val="cf01"/>
          <w:rFonts w:ascii="Arial Narrow" w:eastAsiaTheme="majorEastAsia" w:hAnsi="Arial Narrow" w:cs="Calibri"/>
          <w:b/>
          <w:bCs/>
          <w:sz w:val="22"/>
          <w:szCs w:val="22"/>
        </w:rPr>
        <w:t>Solid waste:</w:t>
      </w:r>
      <w:r w:rsidRPr="00232DBA">
        <w:rPr>
          <w:rStyle w:val="cf01"/>
          <w:rFonts w:ascii="Arial Narrow" w:eastAsiaTheme="majorEastAsia" w:hAnsi="Arial Narrow" w:cs="Calibri"/>
          <w:sz w:val="22"/>
          <w:szCs w:val="22"/>
        </w:rPr>
        <w:t xml:space="preserve"> Solid waste will be disposed in white or transparent autoclavable bags, autoclaved (with a sterilization cycle of 30 minutes for most materials), then disposed of in the general waste stream. Soil must have a sterilization cycle of at least 60 minutes. </w:t>
      </w:r>
      <w:r w:rsidRPr="00232DBA">
        <w:rPr>
          <w:rStyle w:val="cf01"/>
          <w:rFonts w:ascii="Arial Narrow" w:eastAsiaTheme="majorEastAsia" w:hAnsi="Arial Narrow" w:cs="Calibri"/>
          <w:b/>
          <w:bCs/>
          <w:sz w:val="22"/>
          <w:szCs w:val="22"/>
        </w:rPr>
        <w:t>PPE:</w:t>
      </w:r>
      <w:r w:rsidRPr="00232DBA">
        <w:rPr>
          <w:rStyle w:val="cf01"/>
          <w:rFonts w:ascii="Arial Narrow" w:eastAsiaTheme="majorEastAsia" w:hAnsi="Arial Narrow" w:cs="Calibri"/>
          <w:sz w:val="22"/>
          <w:szCs w:val="22"/>
        </w:rPr>
        <w:t xml:space="preserve"> Lab coats are worn while in the lab and gloves are worn when working with any hazardous materials or agents.</w:t>
      </w:r>
      <w:r w:rsidRPr="004816B4">
        <w:rPr>
          <w:rStyle w:val="cf01"/>
          <w:rFonts w:ascii="Arial Narrow" w:eastAsiaTheme="majorEastAsia" w:hAnsi="Arial Narrow" w:cs="Calibri"/>
          <w:sz w:val="22"/>
          <w:szCs w:val="22"/>
        </w:rPr>
        <w:t xml:space="preserve"> </w:t>
      </w:r>
      <w:r w:rsidRPr="00232DBA">
        <w:rPr>
          <w:rStyle w:val="cf01"/>
          <w:rFonts w:ascii="Arial Narrow" w:eastAsiaTheme="majorEastAsia" w:hAnsi="Arial Narrow" w:cs="Calibri"/>
          <w:sz w:val="22"/>
          <w:szCs w:val="22"/>
        </w:rPr>
        <w:t xml:space="preserve">Eye +/- face protection is used </w:t>
      </w:r>
      <w:r>
        <w:rPr>
          <w:rStyle w:val="cf01"/>
          <w:rFonts w:ascii="Arial Narrow" w:eastAsiaTheme="majorEastAsia" w:hAnsi="Arial Narrow" w:cs="Calibri"/>
          <w:sz w:val="22"/>
          <w:szCs w:val="22"/>
        </w:rPr>
        <w:t>whenever in lab spaces listed in the BUA</w:t>
      </w:r>
      <w:r w:rsidRPr="00232DBA">
        <w:rPr>
          <w:rStyle w:val="cf01"/>
          <w:rFonts w:ascii="Arial Narrow" w:eastAsiaTheme="majorEastAsia" w:hAnsi="Arial Narrow" w:cs="Calibri"/>
          <w:sz w:val="22"/>
          <w:szCs w:val="22"/>
        </w:rPr>
        <w:t>.</w:t>
      </w:r>
    </w:p>
    <w:p w14:paraId="56473268" w14:textId="77777777" w:rsidR="006F7E4C" w:rsidRPr="00232DBA" w:rsidRDefault="006F7E4C" w:rsidP="006F7E4C">
      <w:pPr>
        <w:pStyle w:val="pf0"/>
        <w:ind w:left="0"/>
        <w:rPr>
          <w:rStyle w:val="cf01"/>
          <w:rFonts w:ascii="Arial Narrow" w:eastAsiaTheme="majorEastAsia" w:hAnsi="Arial Narrow" w:cs="Calibri"/>
          <w:b/>
          <w:bCs/>
          <w:sz w:val="22"/>
          <w:szCs w:val="22"/>
        </w:rPr>
      </w:pPr>
      <w:r w:rsidRPr="00232DBA">
        <w:rPr>
          <w:rStyle w:val="cf01"/>
          <w:rFonts w:ascii="Arial Narrow" w:eastAsiaTheme="majorEastAsia" w:hAnsi="Arial Narrow" w:cs="Calibri"/>
          <w:b/>
          <w:bCs/>
          <w:sz w:val="22"/>
          <w:szCs w:val="22"/>
        </w:rPr>
        <w:t xml:space="preserve">BSL2 </w:t>
      </w:r>
    </w:p>
    <w:p w14:paraId="0465AAC8" w14:textId="77777777" w:rsidR="006F7E4C" w:rsidRPr="00232DBA" w:rsidRDefault="006F7E4C" w:rsidP="006F7E4C">
      <w:pPr>
        <w:pStyle w:val="pf0"/>
        <w:ind w:left="0"/>
        <w:rPr>
          <w:rFonts w:ascii="Arial Narrow" w:hAnsi="Arial Narrow" w:cs="Calibri"/>
          <w:b/>
          <w:bCs/>
          <w:sz w:val="22"/>
          <w:szCs w:val="22"/>
        </w:rPr>
      </w:pPr>
      <w:r w:rsidRPr="00232DBA">
        <w:rPr>
          <w:rStyle w:val="cf01"/>
          <w:rFonts w:ascii="Arial Narrow" w:eastAsiaTheme="majorEastAsia" w:hAnsi="Arial Narrow" w:cs="Calibri"/>
          <w:b/>
          <w:bCs/>
          <w:sz w:val="22"/>
          <w:szCs w:val="22"/>
        </w:rPr>
        <w:lastRenderedPageBreak/>
        <w:t>Transport of BSL2 (or BSL2+) material:</w:t>
      </w:r>
      <w:r w:rsidRPr="00232DBA">
        <w:rPr>
          <w:rStyle w:val="cf01"/>
          <w:rFonts w:ascii="Arial Narrow" w:eastAsiaTheme="majorEastAsia" w:hAnsi="Arial Narrow" w:cs="Calibri"/>
          <w:sz w:val="22"/>
          <w:szCs w:val="22"/>
        </w:rPr>
        <w:t xml:space="preserve"> X is carried in an easily decontaminated,</w:t>
      </w:r>
      <w:r>
        <w:rPr>
          <w:rStyle w:val="cf01"/>
          <w:rFonts w:ascii="Arial Narrow" w:eastAsiaTheme="majorEastAsia" w:hAnsi="Arial Narrow" w:cs="Calibri"/>
          <w:sz w:val="22"/>
          <w:szCs w:val="22"/>
        </w:rPr>
        <w:t xml:space="preserve"> lidded,</w:t>
      </w:r>
      <w:r w:rsidRPr="00232DBA">
        <w:rPr>
          <w:rStyle w:val="cf01"/>
          <w:rFonts w:ascii="Arial Narrow" w:eastAsiaTheme="majorEastAsia" w:hAnsi="Arial Narrow" w:cs="Calibri"/>
          <w:sz w:val="22"/>
          <w:szCs w:val="22"/>
        </w:rPr>
        <w:t xml:space="preserve"> leak-proof, secondary container labeled with a biohazard sticker, the lab’s name, and contact information. </w:t>
      </w:r>
      <w:r w:rsidRPr="00232DBA">
        <w:rPr>
          <w:rStyle w:val="cf01"/>
          <w:rFonts w:ascii="Arial Narrow" w:eastAsiaTheme="majorEastAsia" w:hAnsi="Arial Narrow" w:cs="Calibri"/>
          <w:b/>
          <w:bCs/>
          <w:sz w:val="22"/>
          <w:szCs w:val="22"/>
        </w:rPr>
        <w:t xml:space="preserve">Surface disinfection: </w:t>
      </w:r>
      <w:r w:rsidRPr="00232DBA">
        <w:rPr>
          <w:rStyle w:val="cf01"/>
          <w:rFonts w:ascii="Arial Narrow" w:eastAsiaTheme="majorEastAsia" w:hAnsi="Arial Narrow" w:cs="Calibri"/>
          <w:sz w:val="22"/>
          <w:szCs w:val="22"/>
        </w:rPr>
        <w:t>Work surfaces are disinfected daily after use with an effective disinfectant (e.g.</w:t>
      </w:r>
      <w:r>
        <w:rPr>
          <w:rStyle w:val="cf01"/>
          <w:rFonts w:ascii="Arial Narrow" w:eastAsiaTheme="majorEastAsia" w:hAnsi="Arial Narrow" w:cs="Calibri"/>
          <w:sz w:val="22"/>
          <w:szCs w:val="22"/>
        </w:rPr>
        <w:t xml:space="preserve"> stabilized hydrogen peroxide wipes</w:t>
      </w:r>
      <w:r w:rsidRPr="00232DBA">
        <w:rPr>
          <w:rStyle w:val="cf01"/>
          <w:rFonts w:ascii="Arial Narrow" w:eastAsiaTheme="majorEastAsia" w:hAnsi="Arial Narrow" w:cs="Calibri"/>
          <w:sz w:val="22"/>
          <w:szCs w:val="22"/>
        </w:rPr>
        <w:t xml:space="preserve">). </w:t>
      </w:r>
      <w:r w:rsidRPr="00232DBA">
        <w:rPr>
          <w:rStyle w:val="cf01"/>
          <w:rFonts w:ascii="Arial Narrow" w:eastAsiaTheme="majorEastAsia" w:hAnsi="Arial Narrow" w:cs="Calibri"/>
          <w:b/>
          <w:bCs/>
          <w:sz w:val="22"/>
          <w:szCs w:val="22"/>
        </w:rPr>
        <w:t>Liquid waste</w:t>
      </w:r>
      <w:r w:rsidRPr="00232DBA">
        <w:rPr>
          <w:rStyle w:val="cf01"/>
          <w:rFonts w:ascii="Arial Narrow" w:eastAsiaTheme="majorEastAsia" w:hAnsi="Arial Narrow" w:cs="Calibri"/>
          <w:sz w:val="22"/>
          <w:szCs w:val="22"/>
        </w:rPr>
        <w:t xml:space="preserve">: Liquid waste will be inactivated in 10% bleach (final concentration) for 20 minutes prior to drain disposal with </w:t>
      </w:r>
      <w:r>
        <w:rPr>
          <w:rStyle w:val="cf01"/>
          <w:rFonts w:ascii="Arial Narrow" w:eastAsiaTheme="majorEastAsia" w:hAnsi="Arial Narrow" w:cs="Calibri"/>
          <w:sz w:val="22"/>
          <w:szCs w:val="22"/>
        </w:rPr>
        <w:t xml:space="preserve">a </w:t>
      </w:r>
      <w:r w:rsidRPr="00232DBA">
        <w:rPr>
          <w:rStyle w:val="cf01"/>
          <w:rFonts w:ascii="Arial Narrow" w:eastAsiaTheme="majorEastAsia" w:hAnsi="Arial Narrow" w:cs="Calibri"/>
          <w:sz w:val="22"/>
          <w:szCs w:val="22"/>
        </w:rPr>
        <w:t xml:space="preserve">copious amount of water. </w:t>
      </w:r>
      <w:r w:rsidRPr="00232DBA">
        <w:rPr>
          <w:rStyle w:val="cf01"/>
          <w:rFonts w:ascii="Arial Narrow" w:eastAsiaTheme="majorEastAsia" w:hAnsi="Arial Narrow" w:cs="Calibri"/>
          <w:b/>
          <w:bCs/>
          <w:sz w:val="22"/>
          <w:szCs w:val="22"/>
        </w:rPr>
        <w:t>Solid waste:</w:t>
      </w:r>
      <w:r w:rsidRPr="00232DBA">
        <w:rPr>
          <w:rStyle w:val="cf01"/>
          <w:rFonts w:ascii="Arial Narrow" w:eastAsiaTheme="majorEastAsia" w:hAnsi="Arial Narrow" w:cs="Calibri"/>
          <w:sz w:val="22"/>
          <w:szCs w:val="22"/>
        </w:rPr>
        <w:t xml:space="preserve"> Solid waste will be disposed of in red biohazard bags (meeting ASTD D1709 and ASTD D1922 standards) that line a rigid, lidded container. The bags will be transported to the biohazardous waste accumulation site in a rigid, leak-resistant, closed container weekly or when full, whichever is soonest. </w:t>
      </w:r>
      <w:r w:rsidRPr="00232DBA">
        <w:rPr>
          <w:rStyle w:val="cf01"/>
          <w:rFonts w:ascii="Arial Narrow" w:eastAsiaTheme="majorEastAsia" w:hAnsi="Arial Narrow" w:cs="Calibri"/>
          <w:b/>
          <w:bCs/>
          <w:sz w:val="22"/>
          <w:szCs w:val="22"/>
        </w:rPr>
        <w:t>PPE:</w:t>
      </w:r>
      <w:r w:rsidRPr="00232DBA">
        <w:rPr>
          <w:rStyle w:val="cf01"/>
          <w:rFonts w:ascii="Arial Narrow" w:eastAsiaTheme="majorEastAsia" w:hAnsi="Arial Narrow" w:cs="Calibri"/>
          <w:sz w:val="22"/>
          <w:szCs w:val="22"/>
        </w:rPr>
        <w:t xml:space="preserve"> Spill resistant lab coats are worn in BSL2 spaces. Gloves are worn when working with any hazardous materials or agents. </w:t>
      </w:r>
      <w:bookmarkStart w:id="0" w:name="_Hlk166659178"/>
      <w:r w:rsidRPr="00232DBA">
        <w:rPr>
          <w:rStyle w:val="cf01"/>
          <w:rFonts w:ascii="Arial Narrow" w:eastAsiaTheme="majorEastAsia" w:hAnsi="Arial Narrow" w:cs="Calibri"/>
          <w:sz w:val="22"/>
          <w:szCs w:val="22"/>
        </w:rPr>
        <w:t xml:space="preserve">Eye +/- face protection is used </w:t>
      </w:r>
      <w:r>
        <w:rPr>
          <w:rStyle w:val="cf01"/>
          <w:rFonts w:ascii="Arial Narrow" w:eastAsiaTheme="majorEastAsia" w:hAnsi="Arial Narrow" w:cs="Calibri"/>
          <w:sz w:val="22"/>
          <w:szCs w:val="22"/>
        </w:rPr>
        <w:t>whenever in lab spaces listed in the BUA</w:t>
      </w:r>
      <w:r w:rsidRPr="00232DBA">
        <w:rPr>
          <w:rStyle w:val="cf01"/>
          <w:rFonts w:ascii="Arial Narrow" w:eastAsiaTheme="majorEastAsia" w:hAnsi="Arial Narrow" w:cs="Calibri"/>
          <w:sz w:val="22"/>
          <w:szCs w:val="22"/>
        </w:rPr>
        <w:t xml:space="preserve">. </w:t>
      </w:r>
      <w:bookmarkEnd w:id="0"/>
      <w:r w:rsidRPr="00232DBA">
        <w:rPr>
          <w:rStyle w:val="cf01"/>
          <w:rFonts w:ascii="Arial Narrow" w:eastAsiaTheme="majorEastAsia" w:hAnsi="Arial Narrow" w:cs="Calibri"/>
          <w:b/>
          <w:bCs/>
          <w:sz w:val="22"/>
          <w:szCs w:val="22"/>
        </w:rPr>
        <w:t>Work practices:</w:t>
      </w:r>
      <w:r w:rsidRPr="00232DBA">
        <w:rPr>
          <w:rStyle w:val="cf01"/>
          <w:rFonts w:ascii="Arial Narrow" w:eastAsiaTheme="majorEastAsia" w:hAnsi="Arial Narrow" w:cs="Calibri"/>
          <w:sz w:val="22"/>
          <w:szCs w:val="22"/>
        </w:rPr>
        <w:t xml:space="preserve"> Work is done at a biosafety cabinet (BSC), and all containers are surface disinfected prior to removal from the BSC. Centrifuge rotors or buckets are loaded and unloaded in the BSC.</w:t>
      </w:r>
    </w:p>
    <w:p w14:paraId="4B557CD1" w14:textId="77777777" w:rsidR="006F7E4C" w:rsidRPr="00232DBA" w:rsidRDefault="006F7E4C" w:rsidP="006F7E4C">
      <w:pPr>
        <w:pStyle w:val="pf0"/>
        <w:ind w:left="0"/>
        <w:rPr>
          <w:rFonts w:ascii="Arial Narrow" w:hAnsi="Arial Narrow" w:cs="Calibri"/>
          <w:b/>
          <w:bCs/>
          <w:sz w:val="22"/>
          <w:szCs w:val="22"/>
        </w:rPr>
      </w:pPr>
      <w:r w:rsidRPr="00232DBA">
        <w:rPr>
          <w:rFonts w:ascii="Arial Narrow" w:hAnsi="Arial Narrow" w:cs="Calibri"/>
          <w:b/>
          <w:bCs/>
          <w:sz w:val="22"/>
          <w:szCs w:val="22"/>
        </w:rPr>
        <w:t>Other potential things to include:</w:t>
      </w:r>
    </w:p>
    <w:p w14:paraId="29A246AD" w14:textId="77777777" w:rsidR="006F7E4C" w:rsidRPr="00232DBA" w:rsidRDefault="006F7E4C" w:rsidP="006F7E4C">
      <w:pPr>
        <w:rPr>
          <w:rFonts w:ascii="Arial Narrow" w:hAnsi="Arial Narrow" w:cs="Calibri"/>
          <w:sz w:val="22"/>
          <w:szCs w:val="22"/>
        </w:rPr>
      </w:pPr>
      <w:r w:rsidRPr="00232DBA">
        <w:rPr>
          <w:rStyle w:val="cf01"/>
          <w:rFonts w:ascii="Arial Narrow" w:eastAsiaTheme="majorEastAsia" w:hAnsi="Arial Narrow" w:cs="Calibri"/>
          <w:b/>
          <w:bCs/>
          <w:sz w:val="22"/>
          <w:szCs w:val="22"/>
        </w:rPr>
        <w:t>AAV in rodents:</w:t>
      </w:r>
      <w:r w:rsidRPr="00232DBA">
        <w:rPr>
          <w:rStyle w:val="cf01"/>
          <w:rFonts w:ascii="Arial Narrow" w:eastAsiaTheme="majorEastAsia" w:hAnsi="Arial Narrow" w:cs="Calibri"/>
          <w:sz w:val="22"/>
          <w:szCs w:val="22"/>
        </w:rPr>
        <w:t xml:space="preserve"> Animals injected with AAV may be immediately returned to standard ABSL1 </w:t>
      </w:r>
      <w:proofErr w:type="gramStart"/>
      <w:r w:rsidRPr="00232DBA">
        <w:rPr>
          <w:rStyle w:val="cf01"/>
          <w:rFonts w:ascii="Arial Narrow" w:eastAsiaTheme="majorEastAsia" w:hAnsi="Arial Narrow" w:cs="Calibri"/>
          <w:sz w:val="22"/>
          <w:szCs w:val="22"/>
        </w:rPr>
        <w:t>housing</w:t>
      </w:r>
      <w:proofErr w:type="gramEnd"/>
      <w:r w:rsidRPr="00232DBA">
        <w:rPr>
          <w:rStyle w:val="cf01"/>
          <w:rFonts w:ascii="Arial Narrow" w:eastAsiaTheme="majorEastAsia" w:hAnsi="Arial Narrow" w:cs="Calibri"/>
          <w:sz w:val="22"/>
          <w:szCs w:val="22"/>
        </w:rPr>
        <w:t xml:space="preserve"> but the cage card (obtained from OLAC) must be labeled to indicate the agent, date of administration, and contact information. Due to viral shedding, </w:t>
      </w:r>
      <w:r w:rsidRPr="00232DBA">
        <w:rPr>
          <w:rFonts w:ascii="Arial Narrow" w:hAnsi="Arial Narrow" w:cs="Calibri"/>
          <w:sz w:val="22"/>
          <w:szCs w:val="22"/>
        </w:rPr>
        <w:t xml:space="preserve">the cage should have an “OLAC, </w:t>
      </w:r>
      <w:proofErr w:type="gramStart"/>
      <w:r w:rsidRPr="00232DBA">
        <w:rPr>
          <w:rFonts w:ascii="Arial Narrow" w:hAnsi="Arial Narrow" w:cs="Calibri"/>
          <w:sz w:val="22"/>
          <w:szCs w:val="22"/>
        </w:rPr>
        <w:t>Do</w:t>
      </w:r>
      <w:proofErr w:type="gramEnd"/>
      <w:r w:rsidRPr="00232DBA">
        <w:rPr>
          <w:rFonts w:ascii="Arial Narrow" w:hAnsi="Arial Narrow" w:cs="Calibri"/>
          <w:sz w:val="22"/>
          <w:szCs w:val="22"/>
        </w:rPr>
        <w:t xml:space="preserve"> not open” cage card for the first 72 hours. Lab personnel are responsible for animal care during that time and up through the first cage change after the 72 hrs. </w:t>
      </w:r>
    </w:p>
    <w:p w14:paraId="517E3223" w14:textId="77777777" w:rsidR="006F7E4C" w:rsidRDefault="006F7E4C" w:rsidP="006F7E4C"/>
    <w:p w14:paraId="76FAD285" w14:textId="77777777" w:rsidR="003B7B6A" w:rsidRDefault="003B7B6A"/>
    <w:sectPr w:rsidR="003B7B6A" w:rsidSect="006F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4C"/>
    <w:rsid w:val="003B7B6A"/>
    <w:rsid w:val="006F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694A"/>
  <w15:chartTrackingRefBased/>
  <w15:docId w15:val="{3C136E04-31F2-4095-B208-1BEDE08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E4C"/>
    <w:pPr>
      <w:spacing w:after="0" w:line="240" w:lineRule="auto"/>
    </w:pPr>
    <w:rPr>
      <w:rFonts w:ascii="Times New Roman" w:eastAsia="Times New Roman" w:hAnsi="Times New Roman" w:cs="Times New Roman"/>
      <w:color w:val="000000"/>
      <w:kern w:val="0"/>
      <w:sz w:val="24"/>
      <w:szCs w:val="20"/>
      <w14:ligatures w14:val="none"/>
    </w:rPr>
  </w:style>
  <w:style w:type="paragraph" w:styleId="Heading1">
    <w:name w:val="heading 1"/>
    <w:basedOn w:val="Normal"/>
    <w:next w:val="Normal"/>
    <w:link w:val="Heading1Char"/>
    <w:uiPriority w:val="9"/>
    <w:qFormat/>
    <w:rsid w:val="006F7E4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7E4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7E4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7E4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F7E4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F7E4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F7E4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F7E4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F7E4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E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E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E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E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E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E4C"/>
    <w:rPr>
      <w:rFonts w:eastAsiaTheme="majorEastAsia" w:cstheme="majorBidi"/>
      <w:color w:val="272727" w:themeColor="text1" w:themeTint="D8"/>
    </w:rPr>
  </w:style>
  <w:style w:type="paragraph" w:styleId="Title">
    <w:name w:val="Title"/>
    <w:basedOn w:val="Normal"/>
    <w:next w:val="Normal"/>
    <w:link w:val="TitleChar"/>
    <w:uiPriority w:val="10"/>
    <w:qFormat/>
    <w:rsid w:val="006F7E4C"/>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6F7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E4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7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E4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F7E4C"/>
    <w:rPr>
      <w:i/>
      <w:iCs/>
      <w:color w:val="404040" w:themeColor="text1" w:themeTint="BF"/>
    </w:rPr>
  </w:style>
  <w:style w:type="paragraph" w:styleId="ListParagraph">
    <w:name w:val="List Paragraph"/>
    <w:basedOn w:val="Normal"/>
    <w:uiPriority w:val="34"/>
    <w:qFormat/>
    <w:rsid w:val="006F7E4C"/>
    <w:pPr>
      <w:spacing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6F7E4C"/>
    <w:rPr>
      <w:i/>
      <w:iCs/>
      <w:color w:val="0F4761" w:themeColor="accent1" w:themeShade="BF"/>
    </w:rPr>
  </w:style>
  <w:style w:type="paragraph" w:styleId="IntenseQuote">
    <w:name w:val="Intense Quote"/>
    <w:basedOn w:val="Normal"/>
    <w:next w:val="Normal"/>
    <w:link w:val="IntenseQuoteChar"/>
    <w:uiPriority w:val="30"/>
    <w:qFormat/>
    <w:rsid w:val="006F7E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F7E4C"/>
    <w:rPr>
      <w:i/>
      <w:iCs/>
      <w:color w:val="0F4761" w:themeColor="accent1" w:themeShade="BF"/>
    </w:rPr>
  </w:style>
  <w:style w:type="character" w:styleId="IntenseReference">
    <w:name w:val="Intense Reference"/>
    <w:basedOn w:val="DefaultParagraphFont"/>
    <w:uiPriority w:val="32"/>
    <w:qFormat/>
    <w:rsid w:val="006F7E4C"/>
    <w:rPr>
      <w:b/>
      <w:bCs/>
      <w:smallCaps/>
      <w:color w:val="0F4761" w:themeColor="accent1" w:themeShade="BF"/>
      <w:spacing w:val="5"/>
    </w:rPr>
  </w:style>
  <w:style w:type="character" w:styleId="Hyperlink">
    <w:name w:val="Hyperlink"/>
    <w:rsid w:val="006F7E4C"/>
    <w:rPr>
      <w:rFonts w:cs="Times New Roman"/>
      <w:color w:val="0000FF"/>
      <w:u w:val="single"/>
    </w:rPr>
  </w:style>
  <w:style w:type="paragraph" w:customStyle="1" w:styleId="pf0">
    <w:name w:val="pf0"/>
    <w:basedOn w:val="Normal"/>
    <w:rsid w:val="006F7E4C"/>
    <w:pPr>
      <w:spacing w:before="100" w:beforeAutospacing="1" w:after="100" w:afterAutospacing="1"/>
      <w:ind w:left="1440"/>
    </w:pPr>
    <w:rPr>
      <w:color w:val="auto"/>
      <w:szCs w:val="24"/>
    </w:rPr>
  </w:style>
  <w:style w:type="character" w:customStyle="1" w:styleId="cf01">
    <w:name w:val="cf01"/>
    <w:rsid w:val="006F7E4C"/>
    <w:rPr>
      <w:rFonts w:ascii="Segoe UI" w:hAnsi="Segoe UI" w:cs="Segoe UI" w:hint="default"/>
      <w:sz w:val="18"/>
      <w:szCs w:val="18"/>
    </w:rPr>
  </w:style>
  <w:style w:type="character" w:customStyle="1" w:styleId="cf21">
    <w:name w:val="cf21"/>
    <w:rsid w:val="006F7E4C"/>
    <w:rPr>
      <w:rFonts w:ascii="Segoe UI" w:hAnsi="Segoe UI" w:cs="Segoe UI" w:hint="default"/>
      <w:i/>
      <w:iCs/>
      <w:sz w:val="18"/>
      <w:szCs w:val="18"/>
    </w:rPr>
  </w:style>
  <w:style w:type="character" w:customStyle="1" w:styleId="cf31">
    <w:name w:val="cf31"/>
    <w:rsid w:val="006F7E4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o@berkeley.edu" TargetMode="External"/><Relationship Id="rId5" Type="http://schemas.openxmlformats.org/officeDocument/2006/relationships/hyperlink" Target="mailto:bso@berkeley.edu" TargetMode="External"/><Relationship Id="rId4" Type="http://schemas.openxmlformats.org/officeDocument/2006/relationships/hyperlink" Target="https://ehs.berkeley.edu/instructions-how-use-hazardous-was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Draper</dc:creator>
  <cp:keywords/>
  <dc:description/>
  <cp:lastModifiedBy>Olga Draper</cp:lastModifiedBy>
  <cp:revision>1</cp:revision>
  <dcterms:created xsi:type="dcterms:W3CDTF">2024-05-15T17:12:00Z</dcterms:created>
  <dcterms:modified xsi:type="dcterms:W3CDTF">2024-05-15T17:13:00Z</dcterms:modified>
</cp:coreProperties>
</file>